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6F382485"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w:t>
      </w:r>
      <w:r w:rsidR="00DC243E">
        <w:rPr>
          <w:rFonts w:ascii="Times New Roman" w:hAnsi="Times New Roman" w:cs="Times New Roman"/>
          <w:b/>
          <w:bCs/>
          <w:sz w:val="32"/>
          <w:szCs w:val="32"/>
        </w:rPr>
        <w:t>HVP Residential maintenance and extension</w:t>
      </w:r>
      <w:r w:rsidRPr="00A45970">
        <w:rPr>
          <w:rFonts w:ascii="Times New Roman" w:hAnsi="Times New Roman" w:cs="Times New Roman"/>
          <w:b/>
          <w:bCs/>
          <w:sz w:val="32"/>
          <w:szCs w:val="32"/>
        </w:rPr>
        <w:t>]</w:t>
      </w:r>
    </w:p>
    <w:p w14:paraId="4CD6EC12" w14:textId="3BCD7192"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 xml:space="preserve">[CONTRACT NUMBER: </w:t>
      </w:r>
      <w:r w:rsidR="00DC243E">
        <w:rPr>
          <w:rFonts w:ascii="Times New Roman" w:hAnsi="Times New Roman" w:cs="Times New Roman"/>
          <w:b/>
          <w:bCs/>
          <w:sz w:val="32"/>
          <w:szCs w:val="32"/>
        </w:rPr>
        <w:t>001/21</w:t>
      </w:r>
      <w:r w:rsidRPr="00A45970">
        <w:rPr>
          <w:rFonts w:ascii="Times New Roman" w:hAnsi="Times New Roman" w:cs="Times New Roman"/>
          <w:b/>
          <w:bCs/>
          <w:sz w:val="32"/>
          <w:szCs w:val="32"/>
        </w:rPr>
        <w:t>]</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r w:rsidR="00DC243E">
        <w:rPr>
          <w:rFonts w:ascii="Times New Roman" w:hAnsi="Times New Roman" w:cs="Times New Roman"/>
          <w:sz w:val="20"/>
          <w:szCs w:val="20"/>
        </w:rPr>
        <w:t>MEYER )</w:t>
      </w:r>
      <w:r w:rsidRPr="00472EF5">
        <w:rPr>
          <w:rFonts w:ascii="Times New Roman" w:hAnsi="Times New Roman" w:cs="Times New Roman"/>
          <w:sz w:val="20"/>
          <w:szCs w:val="20"/>
        </w:rPr>
        <w:t xml:space="preserve">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57A27713" w:rsidR="00F41505" w:rsidRPr="00DC243E" w:rsidRDefault="00F41505" w:rsidP="00D94908">
            <w:pPr>
              <w:spacing w:before="120" w:after="0" w:line="240" w:lineRule="auto"/>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0928F113" w:rsidR="00F41505" w:rsidRPr="00B8566F" w:rsidRDefault="00F41505" w:rsidP="00602456">
            <w:pPr>
              <w:spacing w:before="120" w:after="0" w:line="240" w:lineRule="auto"/>
              <w:jc w:val="both"/>
              <w:rPr>
                <w:rFonts w:ascii="Times New Roman" w:eastAsia="Times New Roman" w:hAnsi="Times New Roman"/>
                <w:sz w:val="20"/>
                <w:szCs w:val="20"/>
                <w:u w:val="single"/>
              </w:rPr>
            </w:pPr>
            <w:bookmarkStart w:id="8" w:name="_GoBack"/>
            <w:bookmarkEnd w:id="8"/>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0"/>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1A814" w14:textId="77777777" w:rsidR="00AD0091" w:rsidRDefault="00AD0091" w:rsidP="00437220">
      <w:pPr>
        <w:spacing w:after="0" w:line="240" w:lineRule="auto"/>
      </w:pPr>
      <w:r>
        <w:separator/>
      </w:r>
    </w:p>
  </w:endnote>
  <w:endnote w:type="continuationSeparator" w:id="0">
    <w:p w14:paraId="6F30AA1C" w14:textId="77777777" w:rsidR="00AD0091" w:rsidRDefault="00AD0091"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B7D8D" w14:textId="77777777" w:rsidR="00AD0091" w:rsidRDefault="00AD0091" w:rsidP="00437220">
      <w:pPr>
        <w:spacing w:after="0" w:line="240" w:lineRule="auto"/>
      </w:pPr>
      <w:r>
        <w:separator/>
      </w:r>
    </w:p>
  </w:footnote>
  <w:footnote w:type="continuationSeparator" w:id="0">
    <w:p w14:paraId="06051CE8" w14:textId="77777777" w:rsidR="00AD0091" w:rsidRDefault="00AD0091"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8AEA0" w14:textId="5D97315A" w:rsidR="00437220" w:rsidRDefault="00A25B6B" w:rsidP="00446C1C">
    <w:pPr>
      <w:pStyle w:val="Header"/>
      <w:tabs>
        <w:tab w:val="left" w:pos="1875"/>
      </w:tabs>
      <w:jc w:val="center"/>
    </w:pPr>
    <w:r w:rsidRPr="00B8566F">
      <w:rPr>
        <w:noProof/>
        <w:lang w:val="en-AU" w:eastAsia="en-AU"/>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D0091"/>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94908"/>
    <w:rsid w:val="00DA101E"/>
    <w:rsid w:val="00DA60BB"/>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12C00-B3BC-44EE-ACB3-ACB0C36C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917</Words>
  <Characters>5229</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admin</cp:lastModifiedBy>
  <cp:revision>2</cp:revision>
  <dcterms:created xsi:type="dcterms:W3CDTF">2024-10-16T22:52:00Z</dcterms:created>
  <dcterms:modified xsi:type="dcterms:W3CDTF">2024-10-16T22:52:00Z</dcterms:modified>
</cp:coreProperties>
</file>